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bookmarkStart w:id="0" w:name="_GoBack"/>
      <w:bookmarkEnd w:id="0"/>
      <w:r>
        <w:rPr>
          <w:rFonts w:hint="eastAsia" w:ascii="仿宋" w:hAnsi="仿宋" w:eastAsia="仿宋" w:cs="仿宋"/>
          <w:sz w:val="32"/>
          <w:szCs w:val="32"/>
          <w:lang w:val="en-US" w:eastAsia="zh-CN"/>
        </w:rPr>
        <w:t>附件：</w:t>
      </w:r>
      <w:r>
        <w:rPr>
          <w:rFonts w:hint="eastAsia" w:ascii="黑体" w:eastAsia="黑体"/>
          <w:sz w:val="36"/>
          <w:szCs w:val="36"/>
        </w:rPr>
        <w:t>西北农林科技大学稳定安全工作考评评分细则</w:t>
      </w:r>
    </w:p>
    <w:p>
      <w:pPr>
        <w:spacing w:line="440" w:lineRule="exact"/>
        <w:jc w:val="center"/>
        <w:rPr>
          <w:rFonts w:ascii="黑体" w:eastAsia="黑体"/>
          <w:sz w:val="36"/>
          <w:szCs w:val="36"/>
        </w:rPr>
      </w:pPr>
    </w:p>
    <w:tbl>
      <w:tblPr>
        <w:tblStyle w:val="2"/>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7"/>
        <w:gridCol w:w="4332"/>
        <w:gridCol w:w="305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9" w:type="dxa"/>
            <w:vAlign w:val="center"/>
          </w:tcPr>
          <w:p>
            <w:pPr>
              <w:jc w:val="center"/>
              <w:rPr>
                <w:rFonts w:ascii="仿宋_GB2312" w:eastAsia="仿宋_GB2312"/>
                <w:b/>
                <w:sz w:val="24"/>
              </w:rPr>
            </w:pPr>
            <w:r>
              <w:rPr>
                <w:rFonts w:hint="eastAsia" w:ascii="仿宋_GB2312" w:eastAsia="仿宋_GB2312"/>
                <w:b/>
                <w:sz w:val="24"/>
              </w:rPr>
              <w:t>考核项目</w:t>
            </w:r>
          </w:p>
        </w:tc>
        <w:tc>
          <w:tcPr>
            <w:tcW w:w="1247" w:type="dxa"/>
            <w:vAlign w:val="center"/>
          </w:tcPr>
          <w:p>
            <w:pPr>
              <w:ind w:firstLine="72" w:firstLineChars="30"/>
              <w:jc w:val="center"/>
              <w:rPr>
                <w:rFonts w:ascii="仿宋_GB2312" w:eastAsia="仿宋_GB2312"/>
                <w:b/>
                <w:sz w:val="24"/>
              </w:rPr>
            </w:pPr>
            <w:r>
              <w:rPr>
                <w:rFonts w:hint="eastAsia" w:ascii="仿宋_GB2312" w:eastAsia="仿宋_GB2312"/>
                <w:b/>
                <w:sz w:val="24"/>
              </w:rPr>
              <w:t>分项</w:t>
            </w:r>
          </w:p>
        </w:tc>
        <w:tc>
          <w:tcPr>
            <w:tcW w:w="4332" w:type="dxa"/>
            <w:vAlign w:val="center"/>
          </w:tcPr>
          <w:p>
            <w:pPr>
              <w:ind w:firstLine="72" w:firstLineChars="30"/>
              <w:jc w:val="center"/>
              <w:rPr>
                <w:rFonts w:ascii="仿宋_GB2312" w:eastAsia="仿宋_GB2312"/>
                <w:b/>
                <w:sz w:val="24"/>
              </w:rPr>
            </w:pPr>
            <w:r>
              <w:rPr>
                <w:rFonts w:hint="eastAsia" w:ascii="仿宋_GB2312" w:eastAsia="仿宋_GB2312"/>
                <w:b/>
                <w:sz w:val="24"/>
              </w:rPr>
              <w:t>考核内容</w:t>
            </w:r>
          </w:p>
        </w:tc>
        <w:tc>
          <w:tcPr>
            <w:tcW w:w="3057" w:type="dxa"/>
            <w:vAlign w:val="center"/>
          </w:tcPr>
          <w:p>
            <w:pPr>
              <w:ind w:firstLine="72" w:firstLineChars="30"/>
              <w:jc w:val="center"/>
              <w:rPr>
                <w:rFonts w:ascii="仿宋_GB2312" w:eastAsia="仿宋_GB2312"/>
                <w:b/>
                <w:sz w:val="24"/>
              </w:rPr>
            </w:pPr>
            <w:r>
              <w:rPr>
                <w:rFonts w:hint="eastAsia" w:ascii="仿宋_GB2312" w:eastAsia="仿宋_GB2312"/>
                <w:b/>
                <w:sz w:val="24"/>
              </w:rPr>
              <w:t>记分办法</w:t>
            </w:r>
          </w:p>
        </w:tc>
        <w:tc>
          <w:tcPr>
            <w:tcW w:w="955" w:type="dxa"/>
            <w:vAlign w:val="center"/>
          </w:tcPr>
          <w:p>
            <w:pPr>
              <w:ind w:firstLine="72" w:firstLineChars="30"/>
              <w:jc w:val="center"/>
              <w:rPr>
                <w:rFonts w:hint="eastAsia" w:ascii="仿宋_GB2312" w:eastAsia="仿宋_GB2312"/>
                <w:b/>
                <w:sz w:val="24"/>
                <w:lang w:eastAsia="zh-CN"/>
              </w:rPr>
            </w:pPr>
            <w:r>
              <w:rPr>
                <w:rFonts w:hint="eastAsia" w:ascii="仿宋_GB2312" w:eastAsia="仿宋_GB2312"/>
                <w:b/>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vAlign w:val="center"/>
          </w:tcPr>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组</w:t>
            </w:r>
          </w:p>
          <w:p>
            <w:pPr>
              <w:jc w:val="center"/>
              <w:rPr>
                <w:rFonts w:ascii="仿宋_GB2312" w:eastAsia="仿宋_GB2312"/>
                <w:b/>
                <w:sz w:val="24"/>
              </w:rPr>
            </w:pPr>
            <w:r>
              <w:rPr>
                <w:rFonts w:hint="eastAsia" w:ascii="仿宋_GB2312" w:eastAsia="仿宋_GB2312"/>
                <w:b/>
                <w:sz w:val="24"/>
              </w:rPr>
              <w:t>织</w:t>
            </w:r>
          </w:p>
          <w:p>
            <w:pPr>
              <w:jc w:val="center"/>
              <w:rPr>
                <w:rFonts w:ascii="仿宋_GB2312" w:eastAsia="仿宋_GB2312"/>
                <w:b/>
                <w:sz w:val="24"/>
              </w:rPr>
            </w:pPr>
            <w:r>
              <w:rPr>
                <w:rFonts w:hint="eastAsia" w:ascii="仿宋_GB2312" w:eastAsia="仿宋_GB2312"/>
                <w:b/>
                <w:sz w:val="24"/>
              </w:rPr>
              <w:t>领</w:t>
            </w:r>
          </w:p>
          <w:p>
            <w:pPr>
              <w:jc w:val="center"/>
              <w:rPr>
                <w:rFonts w:ascii="仿宋_GB2312" w:eastAsia="仿宋_GB2312"/>
                <w:b/>
                <w:sz w:val="24"/>
              </w:rPr>
            </w:pPr>
            <w:r>
              <w:rPr>
                <w:rFonts w:hint="eastAsia" w:ascii="仿宋_GB2312" w:eastAsia="仿宋_GB2312"/>
                <w:b/>
                <w:sz w:val="24"/>
              </w:rPr>
              <w:t>导(10分)</w:t>
            </w:r>
          </w:p>
        </w:tc>
        <w:tc>
          <w:tcPr>
            <w:tcW w:w="1247" w:type="dxa"/>
            <w:vAlign w:val="center"/>
          </w:tcPr>
          <w:p>
            <w:pPr>
              <w:jc w:val="center"/>
              <w:rPr>
                <w:rFonts w:ascii="仿宋_GB2312" w:eastAsia="仿宋_GB2312"/>
                <w:b/>
                <w:sz w:val="24"/>
              </w:rPr>
            </w:pPr>
            <w:r>
              <w:rPr>
                <w:rFonts w:hint="eastAsia" w:ascii="仿宋_GB2312" w:eastAsia="仿宋_GB2312"/>
                <w:b/>
                <w:sz w:val="24"/>
              </w:rPr>
              <w:t>领导机构（3分)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成立稳定安全工作小组，任务分工明确。</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未建立稳定安全工作小组、未明确专人分管稳定安全工作扣3分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工作安排（3分）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将稳定安全工作列入工作议事日程，召开会议研究部署稳定安全工作，做到有措施、有检查、有落实。</w:t>
            </w:r>
          </w:p>
        </w:tc>
        <w:tc>
          <w:tcPr>
            <w:tcW w:w="3057" w:type="dxa"/>
            <w:vAlign w:val="center"/>
          </w:tcPr>
          <w:p>
            <w:pPr>
              <w:spacing w:line="400" w:lineRule="exact"/>
              <w:rPr>
                <w:rFonts w:ascii="仿宋_GB2312" w:eastAsia="仿宋_GB2312"/>
                <w:sz w:val="24"/>
              </w:rPr>
            </w:pPr>
            <w:r>
              <w:rPr>
                <w:rFonts w:hint="eastAsia" w:ascii="仿宋_GB2312" w:eastAsia="仿宋_GB2312"/>
                <w:sz w:val="24"/>
              </w:rPr>
              <w:t>无安排、检查扣1-3分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59" w:type="dxa"/>
            <w:vMerge w:val="continue"/>
            <w:vAlign w:val="center"/>
          </w:tcPr>
          <w:p>
            <w:pPr>
              <w:jc w:val="center"/>
              <w:rPr>
                <w:rFonts w:ascii="仿宋_GB2312" w:eastAsia="仿宋_GB2312"/>
                <w:b/>
                <w:sz w:val="24"/>
              </w:rPr>
            </w:pPr>
          </w:p>
        </w:tc>
        <w:tc>
          <w:tcPr>
            <w:tcW w:w="1247" w:type="dxa"/>
            <w:tcBorders>
              <w:bottom w:val="single" w:color="auto" w:sz="4" w:space="0"/>
            </w:tcBorders>
            <w:vAlign w:val="center"/>
          </w:tcPr>
          <w:p>
            <w:pPr>
              <w:jc w:val="center"/>
              <w:rPr>
                <w:rFonts w:ascii="仿宋_GB2312" w:eastAsia="仿宋_GB2312"/>
                <w:b/>
                <w:sz w:val="24"/>
              </w:rPr>
            </w:pPr>
            <w:r>
              <w:rPr>
                <w:rFonts w:hint="eastAsia" w:ascii="仿宋_GB2312" w:eastAsia="仿宋_GB2312"/>
                <w:b/>
                <w:sz w:val="24"/>
              </w:rPr>
              <w:t>责任落实及追究（4分）</w:t>
            </w:r>
          </w:p>
        </w:tc>
        <w:tc>
          <w:tcPr>
            <w:tcW w:w="4332" w:type="dxa"/>
            <w:tcBorders>
              <w:bottom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与下属单位（科室）或责任人签定稳定安全工作目标管理责任书，并建立责任追究制度。</w:t>
            </w:r>
          </w:p>
        </w:tc>
        <w:tc>
          <w:tcPr>
            <w:tcW w:w="3057" w:type="dxa"/>
            <w:tcBorders>
              <w:bottom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未与下属科室及责任人签定责任书扣2分；未建立责任追究制度扣2分</w:t>
            </w:r>
          </w:p>
        </w:tc>
        <w:tc>
          <w:tcPr>
            <w:tcW w:w="955" w:type="dxa"/>
            <w:tcBorders>
              <w:bottom w:val="single" w:color="auto" w:sz="4" w:space="0"/>
            </w:tcBorders>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59" w:type="dxa"/>
            <w:vMerge w:val="restart"/>
            <w:vAlign w:val="center"/>
          </w:tcPr>
          <w:p>
            <w:pPr>
              <w:jc w:val="center"/>
              <w:rPr>
                <w:rFonts w:ascii="仿宋_GB2312" w:eastAsia="仿宋_GB2312"/>
                <w:b/>
                <w:sz w:val="24"/>
              </w:rPr>
            </w:pPr>
            <w:r>
              <w:rPr>
                <w:rFonts w:hint="eastAsia" w:ascii="仿宋_GB2312" w:eastAsia="仿宋_GB2312"/>
                <w:b/>
                <w:sz w:val="24"/>
              </w:rPr>
              <w:t>政</w:t>
            </w:r>
          </w:p>
          <w:p>
            <w:pPr>
              <w:jc w:val="center"/>
              <w:rPr>
                <w:rFonts w:ascii="仿宋_GB2312" w:eastAsia="仿宋_GB2312"/>
                <w:b/>
                <w:sz w:val="24"/>
              </w:rPr>
            </w:pPr>
            <w:r>
              <w:rPr>
                <w:rFonts w:hint="eastAsia" w:ascii="仿宋_GB2312" w:eastAsia="仿宋_GB2312"/>
                <w:b/>
                <w:sz w:val="24"/>
              </w:rPr>
              <w:t>治</w:t>
            </w:r>
          </w:p>
          <w:p>
            <w:pPr>
              <w:jc w:val="center"/>
              <w:rPr>
                <w:rFonts w:ascii="仿宋_GB2312" w:eastAsia="仿宋_GB2312"/>
                <w:b/>
                <w:sz w:val="24"/>
              </w:rPr>
            </w:pPr>
            <w:r>
              <w:rPr>
                <w:rFonts w:hint="eastAsia" w:ascii="仿宋_GB2312" w:eastAsia="仿宋_GB2312"/>
                <w:b/>
                <w:sz w:val="24"/>
              </w:rPr>
              <w:t>稳</w:t>
            </w:r>
          </w:p>
          <w:p>
            <w:pPr>
              <w:jc w:val="center"/>
              <w:rPr>
                <w:rFonts w:ascii="仿宋_GB2312" w:eastAsia="仿宋_GB2312"/>
                <w:b/>
                <w:sz w:val="24"/>
              </w:rPr>
            </w:pPr>
            <w:r>
              <w:rPr>
                <w:rFonts w:hint="eastAsia" w:ascii="仿宋_GB2312" w:eastAsia="仿宋_GB2312"/>
                <w:b/>
                <w:sz w:val="24"/>
              </w:rPr>
              <w:t>定</w:t>
            </w:r>
          </w:p>
          <w:p>
            <w:pPr>
              <w:jc w:val="center"/>
              <w:rPr>
                <w:rFonts w:ascii="仿宋_GB2312" w:eastAsia="仿宋_GB2312"/>
                <w:b/>
                <w:sz w:val="24"/>
              </w:rPr>
            </w:pPr>
            <w:r>
              <w:rPr>
                <w:rFonts w:hint="eastAsia" w:ascii="仿宋_GB2312" w:eastAsia="仿宋_GB2312"/>
                <w:b/>
                <w:sz w:val="24"/>
              </w:rPr>
              <w:t>(20分)</w:t>
            </w:r>
          </w:p>
        </w:tc>
        <w:tc>
          <w:tcPr>
            <w:tcW w:w="1247" w:type="dxa"/>
            <w:vAlign w:val="center"/>
          </w:tcPr>
          <w:p>
            <w:pPr>
              <w:jc w:val="center"/>
              <w:rPr>
                <w:rFonts w:ascii="仿宋_GB2312" w:eastAsia="仿宋_GB2312"/>
                <w:b/>
                <w:sz w:val="24"/>
              </w:rPr>
            </w:pPr>
            <w:r>
              <w:rPr>
                <w:rFonts w:hint="eastAsia" w:ascii="仿宋_GB2312" w:eastAsia="仿宋_GB2312"/>
                <w:b/>
                <w:sz w:val="24"/>
              </w:rPr>
              <w:t>国家安全</w:t>
            </w:r>
          </w:p>
          <w:p>
            <w:pPr>
              <w:jc w:val="center"/>
              <w:rPr>
                <w:rFonts w:ascii="仿宋_GB2312" w:eastAsia="仿宋_GB2312"/>
                <w:b/>
                <w:sz w:val="24"/>
              </w:rPr>
            </w:pPr>
            <w:r>
              <w:rPr>
                <w:rFonts w:hint="eastAsia" w:ascii="仿宋_GB2312" w:eastAsia="仿宋_GB2312"/>
                <w:b/>
                <w:sz w:val="24"/>
              </w:rPr>
              <w:t>（4分）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利用各种会议开展国家安全教育，使国家安全、保密工作深入人心。</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未开展国家安全教育、保密教育扣1-4分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矛盾纠纷排查化解</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结合实际做好师生的思想政治教育工作，掌握师生员工思想动态；及时化解、处理各种矛盾，把问题消灭在萌芽状态。</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未及时开展思想政治教育工作扣</w:t>
            </w:r>
            <w:r>
              <w:rPr>
                <w:rFonts w:hint="eastAsia" w:ascii="仿宋_GB2312" w:eastAsia="仿宋_GB2312"/>
                <w:sz w:val="24"/>
                <w:lang w:eastAsia="zh-CN"/>
              </w:rPr>
              <w:t>、未报送排查结果的</w:t>
            </w:r>
            <w:r>
              <w:rPr>
                <w:rFonts w:hint="eastAsia" w:ascii="仿宋_GB2312" w:eastAsia="仿宋_GB2312"/>
                <w:sz w:val="24"/>
              </w:rPr>
              <w:t>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政保工作</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加强管辖范围内防范控制，严防</w:t>
            </w:r>
            <w:r>
              <w:rPr>
                <w:rFonts w:hint="eastAsia" w:ascii="仿宋_GB2312" w:eastAsia="仿宋_GB2312"/>
                <w:sz w:val="24"/>
                <w:lang w:eastAsia="zh-CN"/>
              </w:rPr>
              <w:t>“三股”势力</w:t>
            </w:r>
            <w:r>
              <w:rPr>
                <w:rFonts w:hint="eastAsia" w:ascii="仿宋_GB2312" w:eastAsia="仿宋_GB2312"/>
                <w:sz w:val="24"/>
              </w:rPr>
              <w:t>的渗透和破坏；管辖范围内不发生张贴、投放非法宣传品案件；积极做好相关人员的教育转化工作。</w:t>
            </w:r>
          </w:p>
        </w:tc>
        <w:tc>
          <w:tcPr>
            <w:tcW w:w="3057" w:type="dxa"/>
            <w:vAlign w:val="center"/>
          </w:tcPr>
          <w:p>
            <w:pPr>
              <w:spacing w:line="400" w:lineRule="exact"/>
              <w:rPr>
                <w:rFonts w:ascii="仿宋_GB2312" w:eastAsia="仿宋_GB2312"/>
                <w:sz w:val="24"/>
              </w:rPr>
            </w:pPr>
            <w:r>
              <w:rPr>
                <w:rFonts w:hint="eastAsia" w:ascii="仿宋_GB2312" w:eastAsia="仿宋_GB2312"/>
                <w:sz w:val="24"/>
              </w:rPr>
              <w:t>凡辖区出现政治案件扣1-3分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学术活动管理（3分）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加强对外学术交流活动审查审批管理，严格执行《西北农林科技大学关于举办形势报告会和哲学社会科学报告会研讨会讲座管理办法》，做好外籍教师和留学生的日常管理工作，切实做好师生意识形态方面的管理工作</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未进行学术审批的扣3分；教师在课堂散布错误</w:t>
            </w:r>
            <w:r>
              <w:rPr>
                <w:rFonts w:hint="eastAsia" w:ascii="仿宋_GB2312" w:eastAsia="仿宋_GB2312"/>
                <w:sz w:val="24"/>
                <w:lang w:eastAsia="zh-CN"/>
              </w:rPr>
              <w:t>言论</w:t>
            </w:r>
            <w:r>
              <w:rPr>
                <w:rFonts w:hint="eastAsia" w:ascii="仿宋_GB2312" w:eastAsia="仿宋_GB2312"/>
                <w:sz w:val="24"/>
              </w:rPr>
              <w:t>的扣1-3分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网络安全（3分）</w:t>
            </w:r>
          </w:p>
        </w:tc>
        <w:tc>
          <w:tcPr>
            <w:tcW w:w="4332" w:type="dxa"/>
            <w:vAlign w:val="center"/>
          </w:tcPr>
          <w:p>
            <w:pPr>
              <w:spacing w:line="400" w:lineRule="exact"/>
              <w:rPr>
                <w:rFonts w:ascii="仿宋_GB2312" w:eastAsia="仿宋_GB2312"/>
                <w:sz w:val="24"/>
              </w:rPr>
            </w:pPr>
            <w:r>
              <w:rPr>
                <w:rFonts w:hint="eastAsia" w:ascii="仿宋_GB2312" w:eastAsia="仿宋_GB2312"/>
                <w:sz w:val="24"/>
                <w:lang w:eastAsia="zh-CN"/>
              </w:rPr>
              <w:t>建立二级</w:t>
            </w:r>
            <w:r>
              <w:rPr>
                <w:rFonts w:hint="eastAsia" w:ascii="仿宋_GB2312" w:eastAsia="仿宋_GB2312"/>
                <w:sz w:val="24"/>
              </w:rPr>
              <w:t>网站</w:t>
            </w:r>
            <w:r>
              <w:rPr>
                <w:rFonts w:hint="eastAsia" w:ascii="仿宋_GB2312" w:eastAsia="仿宋_GB2312"/>
                <w:sz w:val="24"/>
                <w:lang w:eastAsia="zh-CN"/>
              </w:rPr>
              <w:t>信息安全管理制度，对发布</w:t>
            </w:r>
            <w:r>
              <w:rPr>
                <w:rFonts w:hint="eastAsia" w:ascii="仿宋_GB2312" w:eastAsia="仿宋_GB2312"/>
                <w:sz w:val="24"/>
              </w:rPr>
              <w:t>内容</w:t>
            </w:r>
            <w:r>
              <w:rPr>
                <w:rFonts w:hint="eastAsia" w:ascii="仿宋_GB2312" w:eastAsia="仿宋_GB2312"/>
                <w:sz w:val="24"/>
                <w:lang w:eastAsia="zh-CN"/>
              </w:rPr>
              <w:t>进行</w:t>
            </w:r>
            <w:r>
              <w:rPr>
                <w:rFonts w:hint="eastAsia" w:ascii="仿宋_GB2312" w:eastAsia="仿宋_GB2312"/>
                <w:sz w:val="24"/>
              </w:rPr>
              <w:t>审核</w:t>
            </w:r>
            <w:r>
              <w:rPr>
                <w:rFonts w:hint="eastAsia" w:ascii="仿宋_GB2312" w:eastAsia="仿宋_GB2312"/>
                <w:sz w:val="24"/>
                <w:lang w:eastAsia="zh-CN"/>
              </w:rPr>
              <w:t>，</w:t>
            </w:r>
            <w:r>
              <w:rPr>
                <w:rFonts w:hint="eastAsia" w:ascii="仿宋_GB2312" w:eastAsia="仿宋_GB2312"/>
                <w:sz w:val="24"/>
              </w:rPr>
              <w:t>网站系统</w:t>
            </w:r>
            <w:r>
              <w:rPr>
                <w:rFonts w:hint="eastAsia" w:ascii="仿宋_GB2312" w:eastAsia="仿宋_GB2312"/>
                <w:sz w:val="24"/>
                <w:lang w:eastAsia="zh-CN"/>
              </w:rPr>
              <w:t>运行正常</w:t>
            </w:r>
            <w:r>
              <w:rPr>
                <w:rFonts w:hint="eastAsia" w:ascii="仿宋_GB2312" w:eastAsia="仿宋_GB2312"/>
                <w:sz w:val="24"/>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发生</w:t>
            </w:r>
            <w:r>
              <w:rPr>
                <w:rFonts w:hint="eastAsia" w:ascii="仿宋_GB2312" w:eastAsia="仿宋_GB2312"/>
                <w:sz w:val="24"/>
                <w:lang w:eastAsia="zh-CN"/>
              </w:rPr>
              <w:t>网络</w:t>
            </w:r>
            <w:r>
              <w:rPr>
                <w:rFonts w:hint="eastAsia" w:ascii="仿宋_GB2312" w:eastAsia="仿宋_GB2312"/>
                <w:sz w:val="24"/>
              </w:rPr>
              <w:t>信息安全事件扣1-3分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59" w:type="dxa"/>
            <w:vMerge w:val="continue"/>
            <w:tcBorders>
              <w:bottom w:val="single" w:color="auto" w:sz="4" w:space="0"/>
            </w:tcBorders>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信息预警及报送</w:t>
            </w:r>
          </w:p>
          <w:p>
            <w:pPr>
              <w:jc w:val="center"/>
              <w:rPr>
                <w:rFonts w:ascii="仿宋_GB2312" w:eastAsia="仿宋_GB2312"/>
                <w:b/>
                <w:sz w:val="24"/>
              </w:rPr>
            </w:pPr>
            <w:r>
              <w:rPr>
                <w:rFonts w:hint="eastAsia" w:ascii="仿宋_GB2312" w:eastAsia="仿宋_GB2312"/>
                <w:b/>
                <w:sz w:val="24"/>
              </w:rPr>
              <w:t>（4分）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保持信息畅通，对</w:t>
            </w:r>
            <w:r>
              <w:rPr>
                <w:rFonts w:hint="eastAsia" w:ascii="仿宋_GB2312" w:eastAsia="仿宋_GB2312"/>
                <w:sz w:val="24"/>
                <w:lang w:eastAsia="zh-CN"/>
              </w:rPr>
              <w:t>政治</w:t>
            </w:r>
            <w:r>
              <w:rPr>
                <w:rFonts w:hint="eastAsia" w:ascii="仿宋_GB2312" w:eastAsia="仿宋_GB2312"/>
                <w:sz w:val="24"/>
              </w:rPr>
              <w:t>安全</w:t>
            </w:r>
            <w:r>
              <w:rPr>
                <w:rFonts w:hint="eastAsia" w:ascii="仿宋_GB2312" w:eastAsia="仿宋_GB2312"/>
                <w:sz w:val="24"/>
                <w:lang w:eastAsia="zh-CN"/>
              </w:rPr>
              <w:t>与稳定</w:t>
            </w:r>
            <w:r>
              <w:rPr>
                <w:rFonts w:hint="eastAsia" w:ascii="仿宋_GB2312" w:eastAsia="仿宋_GB2312"/>
                <w:sz w:val="24"/>
              </w:rPr>
              <w:t>反应迅速，</w:t>
            </w:r>
            <w:r>
              <w:rPr>
                <w:rFonts w:hint="eastAsia" w:ascii="仿宋_GB2312" w:eastAsia="仿宋_GB2312"/>
                <w:sz w:val="24"/>
                <w:lang w:eastAsia="zh-CN"/>
              </w:rPr>
              <w:t>信息</w:t>
            </w:r>
            <w:r>
              <w:rPr>
                <w:rFonts w:hint="eastAsia" w:ascii="仿宋_GB2312" w:eastAsia="仿宋_GB2312"/>
                <w:sz w:val="24"/>
              </w:rPr>
              <w:t>及时</w:t>
            </w:r>
            <w:r>
              <w:rPr>
                <w:rFonts w:hint="eastAsia" w:ascii="仿宋_GB2312" w:eastAsia="仿宋_GB2312"/>
                <w:sz w:val="24"/>
                <w:lang w:eastAsia="zh-CN"/>
              </w:rPr>
              <w:t>上报</w:t>
            </w:r>
            <w:r>
              <w:rPr>
                <w:rFonts w:hint="eastAsia" w:ascii="仿宋_GB2312" w:eastAsia="仿宋_GB2312"/>
                <w:sz w:val="24"/>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有迟报、漏报、瞒报稳定安全信息现象扣1-4分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restart"/>
            <w:vAlign w:val="center"/>
          </w:tcPr>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治</w:t>
            </w:r>
          </w:p>
          <w:p>
            <w:pPr>
              <w:jc w:val="center"/>
              <w:rPr>
                <w:rFonts w:hint="eastAsia" w:ascii="仿宋_GB2312" w:eastAsia="仿宋_GB2312"/>
                <w:b/>
                <w:sz w:val="24"/>
                <w:lang w:eastAsia="zh-CN"/>
              </w:rPr>
            </w:pPr>
            <w:r>
              <w:rPr>
                <w:rFonts w:hint="eastAsia" w:ascii="仿宋_GB2312" w:eastAsia="仿宋_GB2312"/>
                <w:b/>
                <w:sz w:val="24"/>
                <w:lang w:eastAsia="zh-CN"/>
              </w:rPr>
              <w:t>安</w:t>
            </w:r>
          </w:p>
          <w:p>
            <w:pPr>
              <w:jc w:val="center"/>
              <w:rPr>
                <w:rFonts w:hint="eastAsia" w:ascii="仿宋_GB2312" w:eastAsia="仿宋_GB2312"/>
                <w:b/>
                <w:sz w:val="24"/>
              </w:rPr>
            </w:pPr>
            <w:r>
              <w:rPr>
                <w:rFonts w:hint="eastAsia" w:ascii="仿宋_GB2312" w:eastAsia="仿宋_GB2312"/>
                <w:b/>
                <w:sz w:val="24"/>
              </w:rPr>
              <w:t>安</w:t>
            </w:r>
          </w:p>
          <w:p>
            <w:pPr>
              <w:jc w:val="center"/>
              <w:rPr>
                <w:rFonts w:hint="eastAsia" w:ascii="仿宋_GB2312" w:eastAsia="仿宋_GB2312"/>
                <w:b/>
                <w:sz w:val="24"/>
                <w:lang w:eastAsia="zh-CN"/>
              </w:rPr>
            </w:pPr>
            <w:r>
              <w:rPr>
                <w:rFonts w:hint="eastAsia" w:ascii="仿宋_GB2312" w:eastAsia="仿宋_GB2312"/>
                <w:b/>
                <w:sz w:val="24"/>
                <w:lang w:eastAsia="zh-CN"/>
              </w:rPr>
              <w:t>全</w:t>
            </w:r>
          </w:p>
          <w:p>
            <w:pPr>
              <w:jc w:val="center"/>
              <w:rPr>
                <w:rFonts w:ascii="仿宋_GB2312" w:eastAsia="仿宋_GB2312"/>
                <w:b/>
                <w:sz w:val="24"/>
              </w:rPr>
            </w:pPr>
            <w:r>
              <w:rPr>
                <w:rFonts w:hint="eastAsia" w:ascii="仿宋_GB2312" w:eastAsia="仿宋_GB2312"/>
                <w:b/>
                <w:sz w:val="24"/>
              </w:rPr>
              <w:t>（20分）</w:t>
            </w:r>
          </w:p>
        </w:tc>
        <w:tc>
          <w:tcPr>
            <w:tcW w:w="1247" w:type="dxa"/>
            <w:vAlign w:val="center"/>
          </w:tcPr>
          <w:p>
            <w:pPr>
              <w:jc w:val="center"/>
              <w:rPr>
                <w:rFonts w:ascii="仿宋_GB2312" w:eastAsia="仿宋_GB2312"/>
                <w:b/>
                <w:sz w:val="24"/>
              </w:rPr>
            </w:pPr>
            <w:r>
              <w:rPr>
                <w:rFonts w:hint="eastAsia" w:ascii="仿宋_GB2312" w:eastAsia="仿宋_GB2312"/>
                <w:b/>
                <w:sz w:val="24"/>
              </w:rPr>
              <w:t>安全教育</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加强师生的法律法规、校规校纪、安全防范教育，并做到经常化。</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未进行法律法规、校规校纪、安全防范教育扣1-3分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重点部位的管理</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重点要害部位（实验室、计算机房、电教室、库房等）落实24小时人员值班，防范措施得力，责任落实到人。</w:t>
            </w:r>
          </w:p>
        </w:tc>
        <w:tc>
          <w:tcPr>
            <w:tcW w:w="3057" w:type="dxa"/>
            <w:vAlign w:val="center"/>
          </w:tcPr>
          <w:p>
            <w:pPr>
              <w:spacing w:line="400" w:lineRule="exact"/>
              <w:rPr>
                <w:rFonts w:ascii="仿宋_GB2312" w:eastAsia="仿宋_GB2312"/>
                <w:sz w:val="24"/>
              </w:rPr>
            </w:pPr>
            <w:r>
              <w:rPr>
                <w:rFonts w:hint="eastAsia" w:ascii="仿宋_GB2312" w:eastAsia="仿宋_GB2312"/>
                <w:sz w:val="24"/>
              </w:rPr>
              <w:t>无防范措施的扣1-3分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大型活动</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组织大型活动有安全防范措施和应急预案，并将安全防范措施落实到人。</w:t>
            </w:r>
          </w:p>
        </w:tc>
        <w:tc>
          <w:tcPr>
            <w:tcW w:w="3057" w:type="dxa"/>
            <w:vAlign w:val="center"/>
          </w:tcPr>
          <w:p>
            <w:pPr>
              <w:spacing w:line="400" w:lineRule="exact"/>
              <w:rPr>
                <w:rFonts w:ascii="仿宋_GB2312" w:eastAsia="仿宋_GB2312"/>
                <w:sz w:val="24"/>
              </w:rPr>
            </w:pPr>
            <w:r>
              <w:rPr>
                <w:rFonts w:hint="eastAsia" w:ascii="仿宋_GB2312" w:eastAsia="仿宋_GB2312"/>
                <w:sz w:val="24"/>
              </w:rPr>
              <w:t>组织重大活动无安全预案、未落实安全措施和责任人扣1-3分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治安检查</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定期开展治安检查；建立检查台帐；对检查出的隐患及时整改，责任到人。</w:t>
            </w:r>
          </w:p>
        </w:tc>
        <w:tc>
          <w:tcPr>
            <w:tcW w:w="3057" w:type="dxa"/>
            <w:vAlign w:val="center"/>
          </w:tcPr>
          <w:p>
            <w:pPr>
              <w:spacing w:line="400" w:lineRule="exact"/>
              <w:rPr>
                <w:rFonts w:ascii="仿宋_GB2312" w:eastAsia="仿宋_GB2312"/>
                <w:sz w:val="24"/>
              </w:rPr>
            </w:pPr>
            <w:r>
              <w:rPr>
                <w:rFonts w:hint="eastAsia" w:ascii="仿宋_GB2312" w:eastAsia="仿宋_GB2312"/>
                <w:sz w:val="24"/>
              </w:rPr>
              <w:t>无安排、无检查、无落实扣1-3分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交通安全</w:t>
            </w:r>
          </w:p>
          <w:p>
            <w:pPr>
              <w:jc w:val="center"/>
              <w:rPr>
                <w:rFonts w:ascii="仿宋_GB2312" w:eastAsia="仿宋_GB2312"/>
                <w:b/>
                <w:sz w:val="24"/>
              </w:rPr>
            </w:pPr>
            <w:r>
              <w:rPr>
                <w:rFonts w:hint="eastAsia" w:ascii="仿宋_GB2312" w:eastAsia="仿宋_GB2312"/>
                <w:b/>
                <w:sz w:val="24"/>
              </w:rPr>
              <w:t>（2分）</w:t>
            </w:r>
          </w:p>
        </w:tc>
        <w:tc>
          <w:tcPr>
            <w:tcW w:w="4332" w:type="dxa"/>
            <w:vAlign w:val="center"/>
          </w:tcPr>
          <w:p>
            <w:pPr>
              <w:spacing w:line="400" w:lineRule="exact"/>
              <w:rPr>
                <w:rFonts w:ascii="仿宋_GB2312" w:eastAsia="仿宋_GB2312"/>
                <w:sz w:val="24"/>
              </w:rPr>
            </w:pPr>
            <w:r>
              <w:rPr>
                <w:rFonts w:hint="eastAsia" w:ascii="仿宋_GB2312" w:eastAsia="仿宋_GB2312"/>
                <w:sz w:val="24"/>
                <w:lang w:eastAsia="zh-CN"/>
              </w:rPr>
              <w:t>教育</w:t>
            </w:r>
            <w:r>
              <w:rPr>
                <w:rFonts w:hint="eastAsia" w:ascii="仿宋_GB2312" w:eastAsia="仿宋_GB2312"/>
                <w:sz w:val="24"/>
              </w:rPr>
              <w:t>师生遵守校内交通秩序，未发生任何</w:t>
            </w:r>
            <w:r>
              <w:rPr>
                <w:rFonts w:hint="eastAsia" w:ascii="仿宋_GB2312" w:eastAsia="仿宋_GB2312"/>
                <w:sz w:val="24"/>
                <w:lang w:eastAsia="zh-CN"/>
              </w:rPr>
              <w:t>交通</w:t>
            </w:r>
            <w:r>
              <w:rPr>
                <w:rFonts w:hint="eastAsia" w:ascii="仿宋_GB2312" w:eastAsia="仿宋_GB2312"/>
                <w:sz w:val="24"/>
              </w:rPr>
              <w:t>安全事故。</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本单位师生员工出现违反校内交通规定且酿成</w:t>
            </w:r>
            <w:r>
              <w:rPr>
                <w:rFonts w:hint="eastAsia" w:ascii="仿宋_GB2312" w:eastAsia="仿宋_GB2312"/>
                <w:sz w:val="24"/>
                <w:lang w:eastAsia="zh-CN"/>
              </w:rPr>
              <w:t>严重交通</w:t>
            </w:r>
            <w:r>
              <w:rPr>
                <w:rFonts w:hint="eastAsia" w:ascii="仿宋_GB2312" w:eastAsia="仿宋_GB2312"/>
                <w:sz w:val="24"/>
              </w:rPr>
              <w:t>事故扣1-2分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lang w:eastAsia="zh-CN"/>
              </w:rPr>
              <w:t>治安刑事</w:t>
            </w:r>
            <w:r>
              <w:rPr>
                <w:rFonts w:hint="eastAsia" w:ascii="仿宋_GB2312" w:eastAsia="仿宋_GB2312"/>
                <w:b/>
                <w:sz w:val="24"/>
              </w:rPr>
              <w:t>案件</w:t>
            </w:r>
          </w:p>
          <w:p>
            <w:pPr>
              <w:jc w:val="center"/>
              <w:rPr>
                <w:rFonts w:ascii="仿宋_GB2312" w:eastAsia="仿宋_GB2312"/>
                <w:b/>
                <w:sz w:val="24"/>
              </w:rPr>
            </w:pPr>
            <w:r>
              <w:rPr>
                <w:rFonts w:hint="eastAsia" w:ascii="仿宋_GB2312" w:eastAsia="仿宋_GB2312"/>
                <w:b/>
                <w:sz w:val="24"/>
              </w:rPr>
              <w:t>（6分）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本单位安全管理规范，能预防和杜绝盗窃等各类刑事案件和治安案件。</w:t>
            </w:r>
          </w:p>
        </w:tc>
        <w:tc>
          <w:tcPr>
            <w:tcW w:w="3057" w:type="dxa"/>
            <w:vAlign w:val="center"/>
          </w:tcPr>
          <w:p>
            <w:pPr>
              <w:spacing w:line="400" w:lineRule="exact"/>
              <w:rPr>
                <w:rFonts w:ascii="仿宋_GB2312" w:eastAsia="仿宋_GB2312"/>
                <w:sz w:val="24"/>
              </w:rPr>
            </w:pPr>
            <w:r>
              <w:rPr>
                <w:rFonts w:hint="eastAsia" w:ascii="仿宋_GB2312" w:eastAsia="仿宋_GB2312"/>
                <w:sz w:val="24"/>
              </w:rPr>
              <w:t>发生治安案件和重大盗窃及刑事案件扣1-6分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restart"/>
            <w:vAlign w:val="center"/>
          </w:tcPr>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消</w:t>
            </w:r>
          </w:p>
          <w:p>
            <w:pPr>
              <w:jc w:val="center"/>
              <w:rPr>
                <w:rFonts w:hint="eastAsia" w:ascii="仿宋_GB2312" w:eastAsia="仿宋_GB2312"/>
                <w:b/>
                <w:sz w:val="24"/>
              </w:rPr>
            </w:pPr>
            <w:r>
              <w:rPr>
                <w:rFonts w:hint="eastAsia" w:ascii="仿宋_GB2312" w:eastAsia="仿宋_GB2312"/>
                <w:b/>
                <w:sz w:val="24"/>
              </w:rPr>
              <w:t>防</w:t>
            </w:r>
          </w:p>
          <w:p>
            <w:pPr>
              <w:jc w:val="center"/>
              <w:rPr>
                <w:rFonts w:hint="eastAsia" w:ascii="仿宋_GB2312" w:eastAsia="仿宋_GB2312"/>
                <w:b/>
                <w:sz w:val="24"/>
                <w:lang w:eastAsia="zh-CN"/>
              </w:rPr>
            </w:pPr>
            <w:r>
              <w:rPr>
                <w:rFonts w:hint="eastAsia" w:ascii="仿宋_GB2312" w:eastAsia="仿宋_GB2312"/>
                <w:b/>
                <w:sz w:val="24"/>
                <w:lang w:eastAsia="zh-CN"/>
              </w:rPr>
              <w:t>安</w:t>
            </w:r>
          </w:p>
          <w:p>
            <w:pPr>
              <w:jc w:val="center"/>
              <w:rPr>
                <w:rFonts w:hint="eastAsia" w:ascii="仿宋_GB2312" w:eastAsia="仿宋_GB2312"/>
                <w:b/>
                <w:sz w:val="24"/>
                <w:lang w:eastAsia="zh-CN"/>
              </w:rPr>
            </w:pPr>
            <w:r>
              <w:rPr>
                <w:rFonts w:hint="eastAsia" w:ascii="仿宋_GB2312" w:eastAsia="仿宋_GB2312"/>
                <w:b/>
                <w:sz w:val="24"/>
                <w:lang w:eastAsia="zh-CN"/>
              </w:rPr>
              <w:t>全</w:t>
            </w:r>
          </w:p>
          <w:p>
            <w:pPr>
              <w:jc w:val="center"/>
              <w:rPr>
                <w:rFonts w:ascii="仿宋_GB2312" w:eastAsia="仿宋_GB2312"/>
                <w:b/>
                <w:sz w:val="24"/>
              </w:rPr>
            </w:pPr>
            <w:r>
              <w:rPr>
                <w:rFonts w:hint="eastAsia" w:ascii="仿宋_GB2312" w:eastAsia="仿宋_GB2312"/>
                <w:b/>
                <w:sz w:val="24"/>
              </w:rPr>
              <w:t>（20</w:t>
            </w:r>
          </w:p>
          <w:p>
            <w:pPr>
              <w:jc w:val="center"/>
              <w:rPr>
                <w:rFonts w:ascii="仿宋_GB2312" w:eastAsia="仿宋_GB2312"/>
                <w:b/>
                <w:sz w:val="24"/>
              </w:rPr>
            </w:pPr>
            <w:r>
              <w:rPr>
                <w:rFonts w:hint="eastAsia" w:ascii="仿宋_GB2312" w:eastAsia="仿宋_GB2312"/>
                <w:b/>
                <w:sz w:val="24"/>
              </w:rPr>
              <w:t>分）</w:t>
            </w:r>
          </w:p>
        </w:tc>
        <w:tc>
          <w:tcPr>
            <w:tcW w:w="1247" w:type="dxa"/>
            <w:vAlign w:val="center"/>
          </w:tcPr>
          <w:p>
            <w:pPr>
              <w:jc w:val="center"/>
              <w:rPr>
                <w:rFonts w:ascii="仿宋_GB2312" w:eastAsia="仿宋_GB2312"/>
                <w:b/>
                <w:sz w:val="24"/>
              </w:rPr>
            </w:pPr>
            <w:r>
              <w:rPr>
                <w:rFonts w:hint="eastAsia" w:ascii="仿宋_GB2312" w:eastAsia="仿宋_GB2312"/>
                <w:b/>
                <w:sz w:val="24"/>
              </w:rPr>
              <w:t>消防器材管理</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做好本单位消防器材的管理工作，健全制度，明确管理人。</w:t>
            </w:r>
          </w:p>
        </w:tc>
        <w:tc>
          <w:tcPr>
            <w:tcW w:w="3057" w:type="dxa"/>
            <w:vAlign w:val="center"/>
          </w:tcPr>
          <w:p>
            <w:pPr>
              <w:spacing w:line="400" w:lineRule="exact"/>
              <w:rPr>
                <w:rFonts w:ascii="仿宋_GB2312" w:eastAsia="仿宋_GB2312"/>
                <w:sz w:val="24"/>
              </w:rPr>
            </w:pPr>
            <w:r>
              <w:rPr>
                <w:rFonts w:hint="eastAsia" w:ascii="仿宋_GB2312" w:eastAsia="仿宋_GB2312"/>
                <w:sz w:val="24"/>
              </w:rPr>
              <w:t>无管理制度</w:t>
            </w:r>
            <w:r>
              <w:rPr>
                <w:rFonts w:hint="eastAsia" w:ascii="仿宋_GB2312" w:eastAsia="仿宋_GB2312"/>
                <w:sz w:val="24"/>
                <w:lang w:eastAsia="zh-CN"/>
              </w:rPr>
              <w:t>、</w:t>
            </w:r>
            <w:r>
              <w:rPr>
                <w:rFonts w:hint="eastAsia" w:ascii="仿宋_GB2312" w:eastAsia="仿宋_GB2312"/>
                <w:sz w:val="24"/>
              </w:rPr>
              <w:t>消防器材</w:t>
            </w:r>
            <w:r>
              <w:rPr>
                <w:rFonts w:hint="eastAsia" w:ascii="仿宋_GB2312" w:eastAsia="仿宋_GB2312"/>
                <w:sz w:val="24"/>
                <w:lang w:eastAsia="zh-CN"/>
              </w:rPr>
              <w:t>不到位</w:t>
            </w:r>
            <w:r>
              <w:rPr>
                <w:rFonts w:hint="eastAsia" w:ascii="仿宋_GB2312" w:eastAsia="仿宋_GB2312"/>
                <w:sz w:val="24"/>
              </w:rPr>
              <w:t>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消防安全教育</w:t>
            </w:r>
          </w:p>
          <w:p>
            <w:pPr>
              <w:jc w:val="center"/>
              <w:rPr>
                <w:rFonts w:ascii="仿宋_GB2312" w:eastAsia="仿宋_GB2312"/>
                <w:b/>
                <w:sz w:val="24"/>
              </w:rPr>
            </w:pPr>
            <w:r>
              <w:rPr>
                <w:rFonts w:hint="eastAsia" w:ascii="仿宋_GB2312" w:eastAsia="仿宋_GB2312"/>
                <w:b/>
                <w:sz w:val="24"/>
              </w:rPr>
              <w:t>（4分）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组织开展消防安全知识教育培训；积极组织参加各级消防安全管理部门组织的培训；本单位消防安全管理员能熟练掌握消防器材操作技能。</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未开展消防知识教育、消防安全员不能熟练操作消防器材扣1-4分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重点部位消防安全</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重点部位（如实验室、机房、材料库、试剂库等）消防安全管理规范，有专人负责。</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未落实重点消防部位负责人、无管理制度或管理制度不落实扣1-3分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消防安全检查</w:t>
            </w:r>
          </w:p>
          <w:p>
            <w:pPr>
              <w:jc w:val="center"/>
              <w:rPr>
                <w:rFonts w:ascii="仿宋_GB2312" w:eastAsia="仿宋_GB2312"/>
                <w:b/>
                <w:sz w:val="24"/>
              </w:rPr>
            </w:pPr>
            <w:r>
              <w:rPr>
                <w:rFonts w:hint="eastAsia" w:ascii="仿宋_GB2312" w:eastAsia="仿宋_GB2312"/>
                <w:b/>
                <w:sz w:val="24"/>
              </w:rPr>
              <w:t>（5分）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定期组织开展消防安全检查、隐患排查整改活动，消除各类安全隐患。</w:t>
            </w:r>
          </w:p>
        </w:tc>
        <w:tc>
          <w:tcPr>
            <w:tcW w:w="3057" w:type="dxa"/>
            <w:vAlign w:val="center"/>
          </w:tcPr>
          <w:p>
            <w:pPr>
              <w:spacing w:line="400" w:lineRule="exact"/>
              <w:rPr>
                <w:rFonts w:ascii="仿宋_GB2312" w:eastAsia="仿宋_GB2312"/>
                <w:sz w:val="24"/>
              </w:rPr>
            </w:pPr>
            <w:r>
              <w:rPr>
                <w:rFonts w:hint="eastAsia" w:ascii="仿宋_GB2312" w:eastAsia="仿宋_GB2312"/>
                <w:sz w:val="24"/>
              </w:rPr>
              <w:t>未开展消防安全检查、排查出的隐患未及时整改扣3-5分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火灾事故</w:t>
            </w:r>
          </w:p>
          <w:p>
            <w:pPr>
              <w:jc w:val="center"/>
              <w:rPr>
                <w:rFonts w:ascii="仿宋_GB2312" w:eastAsia="仿宋_GB2312"/>
                <w:b/>
                <w:sz w:val="24"/>
              </w:rPr>
            </w:pPr>
            <w:r>
              <w:rPr>
                <w:rFonts w:hint="eastAsia" w:ascii="仿宋_GB2312" w:eastAsia="仿宋_GB2312"/>
                <w:b/>
                <w:sz w:val="24"/>
              </w:rPr>
              <w:t>（5分）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辖区安全</w:t>
            </w:r>
            <w:r>
              <w:rPr>
                <w:rFonts w:hint="eastAsia" w:ascii="仿宋_GB2312" w:eastAsia="仿宋_GB2312"/>
                <w:sz w:val="24"/>
                <w:lang w:eastAsia="zh-CN"/>
              </w:rPr>
              <w:t>，</w:t>
            </w:r>
            <w:r>
              <w:rPr>
                <w:rFonts w:hint="eastAsia" w:ascii="仿宋_GB2312" w:eastAsia="仿宋_GB2312"/>
                <w:sz w:val="24"/>
              </w:rPr>
              <w:t>无火警、火灾事故发生。</w:t>
            </w:r>
          </w:p>
        </w:tc>
        <w:tc>
          <w:tcPr>
            <w:tcW w:w="3057" w:type="dxa"/>
            <w:vAlign w:val="center"/>
          </w:tcPr>
          <w:p>
            <w:pPr>
              <w:spacing w:line="400" w:lineRule="exact"/>
              <w:rPr>
                <w:rFonts w:ascii="仿宋_GB2312" w:eastAsia="仿宋_GB2312"/>
                <w:sz w:val="24"/>
              </w:rPr>
            </w:pPr>
            <w:r>
              <w:rPr>
                <w:rFonts w:hint="eastAsia" w:ascii="仿宋_GB2312" w:eastAsia="仿宋_GB2312"/>
                <w:sz w:val="24"/>
              </w:rPr>
              <w:t>发生火警、火灾事故扣1-5分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restart"/>
            <w:vAlign w:val="center"/>
          </w:tcPr>
          <w:p>
            <w:pPr>
              <w:jc w:val="center"/>
              <w:rPr>
                <w:rFonts w:ascii="仿宋_GB2312" w:eastAsia="仿宋_GB2312"/>
                <w:b/>
                <w:sz w:val="24"/>
              </w:rPr>
            </w:pPr>
            <w:r>
              <w:rPr>
                <w:rFonts w:hint="eastAsia" w:ascii="仿宋_GB2312" w:eastAsia="仿宋_GB2312"/>
                <w:b/>
                <w:sz w:val="24"/>
              </w:rPr>
              <w:t>安全生产（15分）</w:t>
            </w:r>
          </w:p>
        </w:tc>
        <w:tc>
          <w:tcPr>
            <w:tcW w:w="1247" w:type="dxa"/>
            <w:vAlign w:val="center"/>
          </w:tcPr>
          <w:p>
            <w:pPr>
              <w:jc w:val="center"/>
              <w:rPr>
                <w:rFonts w:ascii="仿宋_GB2312" w:eastAsia="仿宋_GB2312"/>
                <w:b/>
                <w:sz w:val="24"/>
              </w:rPr>
            </w:pPr>
            <w:r>
              <w:rPr>
                <w:rFonts w:hint="eastAsia" w:ascii="仿宋_GB2312" w:eastAsia="仿宋_GB2312"/>
                <w:b/>
                <w:sz w:val="24"/>
              </w:rPr>
              <w:t>安全生产</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认真履行职责，遵守安全管理规章制度</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无安全生产规章或有章不循的扣1-3分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用电安全</w:t>
            </w:r>
          </w:p>
          <w:p>
            <w:pPr>
              <w:jc w:val="center"/>
              <w:rPr>
                <w:rFonts w:ascii="仿宋_GB2312" w:eastAsia="仿宋_GB2312"/>
                <w:b/>
                <w:sz w:val="24"/>
              </w:rPr>
            </w:pPr>
            <w:r>
              <w:rPr>
                <w:rFonts w:hint="eastAsia" w:ascii="仿宋_GB2312" w:eastAsia="仿宋_GB2312"/>
                <w:b/>
                <w:sz w:val="24"/>
              </w:rPr>
              <w:t>（3分）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图书室、实验室及消防重点部位电器设备安装和电源线敷设符合安全规定，无明接头现象，无违章使用大功率电器现象。无乱拉乱接电线、使用花线、使用木质配电板等现象</w:t>
            </w:r>
            <w:r>
              <w:rPr>
                <w:rFonts w:hint="eastAsia" w:ascii="仿宋_GB2312" w:eastAsia="仿宋_GB2312"/>
                <w:sz w:val="24"/>
                <w:lang w:eastAsia="zh-CN"/>
              </w:rPr>
              <w:t>。</w:t>
            </w:r>
          </w:p>
        </w:tc>
        <w:tc>
          <w:tcPr>
            <w:tcW w:w="3057" w:type="dxa"/>
            <w:vAlign w:val="center"/>
          </w:tcPr>
          <w:p>
            <w:pPr>
              <w:spacing w:line="400" w:lineRule="exact"/>
              <w:rPr>
                <w:sz w:val="24"/>
              </w:rPr>
            </w:pPr>
            <w:r>
              <w:rPr>
                <w:rFonts w:hint="eastAsia" w:ascii="仿宋_GB2312" w:eastAsia="仿宋_GB2312"/>
                <w:sz w:val="24"/>
              </w:rPr>
              <w:t>因用电不当导致安全事故扣1-3分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用水安全（3分）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加强对水资源的管理，无浪费现象和因用水不当导致的各类安全事故。</w:t>
            </w:r>
          </w:p>
        </w:tc>
        <w:tc>
          <w:tcPr>
            <w:tcW w:w="3057" w:type="dxa"/>
            <w:vAlign w:val="center"/>
          </w:tcPr>
          <w:p>
            <w:pPr>
              <w:spacing w:line="400" w:lineRule="exact"/>
              <w:rPr>
                <w:rFonts w:ascii="仿宋_GB2312" w:eastAsia="仿宋_GB2312"/>
                <w:sz w:val="24"/>
              </w:rPr>
            </w:pPr>
            <w:r>
              <w:rPr>
                <w:rFonts w:hint="eastAsia" w:ascii="仿宋_GB2312" w:eastAsia="仿宋_GB2312"/>
                <w:sz w:val="24"/>
              </w:rPr>
              <w:t>因用水不当导致安全事故扣1-3分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消防安全通道畅通（3分）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时刻保持消防安全通道畅通</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每封堵一处消防安全通道扣2分，不封顶</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安全生生产事故（3分）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安全生产工作措施得当，全年无事故</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发生安全生产事故的扣1-3分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59" w:type="dxa"/>
            <w:vMerge w:val="restart"/>
            <w:vAlign w:val="center"/>
          </w:tcPr>
          <w:p>
            <w:pPr>
              <w:jc w:val="center"/>
              <w:rPr>
                <w:rFonts w:ascii="仿宋_GB2312" w:eastAsia="仿宋_GB2312"/>
                <w:b/>
                <w:sz w:val="24"/>
              </w:rPr>
            </w:pPr>
            <w:r>
              <w:rPr>
                <w:rFonts w:hint="eastAsia" w:ascii="仿宋_GB2312" w:eastAsia="仿宋_GB2312"/>
                <w:b/>
                <w:sz w:val="24"/>
              </w:rPr>
              <w:t>实验室安全（15分）</w:t>
            </w:r>
          </w:p>
        </w:tc>
        <w:tc>
          <w:tcPr>
            <w:tcW w:w="1247" w:type="dxa"/>
            <w:vAlign w:val="center"/>
          </w:tcPr>
          <w:p>
            <w:pPr>
              <w:jc w:val="center"/>
              <w:rPr>
                <w:rFonts w:ascii="仿宋_GB2312" w:eastAsia="仿宋_GB2312"/>
                <w:b/>
                <w:sz w:val="24"/>
              </w:rPr>
            </w:pPr>
            <w:r>
              <w:rPr>
                <w:rFonts w:hint="eastAsia" w:ascii="仿宋_GB2312" w:eastAsia="仿宋_GB2312"/>
                <w:b/>
                <w:sz w:val="24"/>
              </w:rPr>
              <w:t>规章制度（3分）</w:t>
            </w:r>
          </w:p>
        </w:tc>
        <w:tc>
          <w:tcPr>
            <w:tcW w:w="4332" w:type="dxa"/>
            <w:vAlign w:val="center"/>
          </w:tcPr>
          <w:p>
            <w:pPr>
              <w:widowControl/>
              <w:spacing w:line="400" w:lineRule="exact"/>
              <w:jc w:val="left"/>
              <w:rPr>
                <w:rFonts w:hint="eastAsia" w:ascii="仿宋_GB2312" w:eastAsia="仿宋_GB2312"/>
                <w:sz w:val="24"/>
                <w:lang w:eastAsia="zh-CN"/>
              </w:rPr>
            </w:pPr>
            <w:r>
              <w:rPr>
                <w:rFonts w:hint="eastAsia" w:ascii="仿宋_GB2312" w:eastAsia="仿宋_GB2312"/>
                <w:sz w:val="24"/>
              </w:rPr>
              <w:t>化学试剂领用制度是否健全，是否明确安全管理责任人</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规章制度不健全扣1分，管理责任人不明确扣2分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规范管理（3分）</w:t>
            </w:r>
          </w:p>
        </w:tc>
        <w:tc>
          <w:tcPr>
            <w:tcW w:w="43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实验药品名称是否标识清楚，各类药品是否按规定存放</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药品标识不清楚扣1分，不按规定存放的扣2分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废液、废弃物处置（3分）</w:t>
            </w:r>
          </w:p>
        </w:tc>
        <w:tc>
          <w:tcPr>
            <w:tcW w:w="4332" w:type="dxa"/>
            <w:vAlign w:val="center"/>
          </w:tcPr>
          <w:p>
            <w:pPr>
              <w:widowControl/>
              <w:spacing w:line="400" w:lineRule="exact"/>
              <w:jc w:val="left"/>
              <w:rPr>
                <w:rFonts w:ascii="仿宋_GB2312" w:eastAsia="仿宋_GB2312"/>
                <w:sz w:val="24"/>
              </w:rPr>
            </w:pPr>
            <w:r>
              <w:rPr>
                <w:rFonts w:hint="eastAsia" w:ascii="仿宋_GB2312" w:eastAsia="仿宋_GB2312"/>
                <w:sz w:val="24"/>
              </w:rPr>
              <w:t>实验废弃物处置得当，不存在实验废弃物和生活垃圾混放的现象及实验室门外堆放实验室废弃物的现象；未出现废弃液乱倒现象。</w:t>
            </w:r>
          </w:p>
        </w:tc>
        <w:tc>
          <w:tcPr>
            <w:tcW w:w="3057" w:type="dxa"/>
            <w:vAlign w:val="center"/>
          </w:tcPr>
          <w:p>
            <w:pPr>
              <w:spacing w:line="400" w:lineRule="exact"/>
              <w:rPr>
                <w:rFonts w:ascii="仿宋_GB2312" w:eastAsia="仿宋_GB2312"/>
                <w:sz w:val="24"/>
              </w:rPr>
            </w:pPr>
            <w:r>
              <w:rPr>
                <w:rFonts w:hint="eastAsia" w:ascii="仿宋_GB2312" w:eastAsia="仿宋_GB2312"/>
                <w:sz w:val="24"/>
              </w:rPr>
              <w:t>发现废弃物随意放置现象扣1分，实验室外堆弃废弃物扣2分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压力容器（2分）</w:t>
            </w:r>
          </w:p>
        </w:tc>
        <w:tc>
          <w:tcPr>
            <w:tcW w:w="4332" w:type="dxa"/>
            <w:vAlign w:val="center"/>
          </w:tcPr>
          <w:p>
            <w:pPr>
              <w:widowControl/>
              <w:spacing w:line="400" w:lineRule="exact"/>
              <w:jc w:val="left"/>
              <w:rPr>
                <w:rFonts w:hint="eastAsia" w:ascii="仿宋_GB2312" w:eastAsia="仿宋_GB2312"/>
                <w:sz w:val="24"/>
                <w:lang w:eastAsia="zh-CN"/>
              </w:rPr>
            </w:pPr>
            <w:r>
              <w:rPr>
                <w:rFonts w:hint="eastAsia" w:ascii="仿宋_GB2312" w:eastAsia="仿宋_GB2312"/>
                <w:sz w:val="24"/>
              </w:rPr>
              <w:t>压力容器稳固放置，日常维修维护和使用记录是否健全</w:t>
            </w:r>
            <w:r>
              <w:rPr>
                <w:rFonts w:hint="eastAsia" w:ascii="仿宋_GB2312" w:eastAsia="仿宋_GB2312"/>
                <w:sz w:val="24"/>
                <w:lang w:eastAsia="zh-CN"/>
              </w:rPr>
              <w:t>。</w:t>
            </w:r>
          </w:p>
        </w:tc>
        <w:tc>
          <w:tcPr>
            <w:tcW w:w="3057" w:type="dxa"/>
            <w:vAlign w:val="center"/>
          </w:tcPr>
          <w:p>
            <w:pPr>
              <w:spacing w:line="400" w:lineRule="exact"/>
              <w:rPr>
                <w:rFonts w:ascii="仿宋_GB2312" w:eastAsia="仿宋_GB2312"/>
                <w:sz w:val="24"/>
              </w:rPr>
            </w:pPr>
            <w:r>
              <w:rPr>
                <w:rFonts w:hint="eastAsia" w:ascii="仿宋_GB2312" w:eastAsia="仿宋_GB2312"/>
                <w:sz w:val="24"/>
              </w:rPr>
              <w:t>缺乏压力容器使用及维修记录的扣2分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9" w:type="dxa"/>
            <w:vMerge w:val="continue"/>
            <w:vAlign w:val="center"/>
          </w:tcPr>
          <w:p>
            <w:pPr>
              <w:jc w:val="center"/>
              <w:rPr>
                <w:rFonts w:ascii="仿宋_GB2312" w:eastAsia="仿宋_GB2312"/>
                <w:b/>
                <w:sz w:val="24"/>
              </w:rPr>
            </w:pPr>
          </w:p>
        </w:tc>
        <w:tc>
          <w:tcPr>
            <w:tcW w:w="1247" w:type="dxa"/>
            <w:vAlign w:val="center"/>
          </w:tcPr>
          <w:p>
            <w:pPr>
              <w:jc w:val="center"/>
              <w:rPr>
                <w:rFonts w:ascii="仿宋_GB2312" w:eastAsia="仿宋_GB2312"/>
                <w:b/>
                <w:sz w:val="24"/>
              </w:rPr>
            </w:pPr>
            <w:r>
              <w:rPr>
                <w:rFonts w:hint="eastAsia" w:ascii="仿宋_GB2312" w:eastAsia="仿宋_GB2312"/>
                <w:b/>
                <w:sz w:val="24"/>
              </w:rPr>
              <w:t>危险化学品的管理</w:t>
            </w:r>
          </w:p>
          <w:p>
            <w:pPr>
              <w:jc w:val="center"/>
              <w:rPr>
                <w:rFonts w:ascii="仿宋_GB2312" w:eastAsia="仿宋_GB2312"/>
                <w:b/>
                <w:sz w:val="24"/>
              </w:rPr>
            </w:pPr>
            <w:r>
              <w:rPr>
                <w:rFonts w:hint="eastAsia" w:ascii="仿宋_GB2312" w:eastAsia="仿宋_GB2312"/>
                <w:b/>
                <w:sz w:val="24"/>
              </w:rPr>
              <w:t>（4分）</w:t>
            </w:r>
          </w:p>
        </w:tc>
        <w:tc>
          <w:tcPr>
            <w:tcW w:w="4332" w:type="dxa"/>
            <w:vAlign w:val="center"/>
          </w:tcPr>
          <w:p>
            <w:pPr>
              <w:spacing w:line="400" w:lineRule="exact"/>
              <w:rPr>
                <w:rFonts w:ascii="仿宋_GB2312" w:eastAsia="仿宋_GB2312"/>
                <w:sz w:val="24"/>
              </w:rPr>
            </w:pPr>
            <w:r>
              <w:rPr>
                <w:rFonts w:hint="eastAsia" w:ascii="仿宋_GB2312" w:eastAsia="仿宋_GB2312"/>
                <w:sz w:val="24"/>
              </w:rPr>
              <w:t>危险化学品的管理规范、使用程序规范。</w:t>
            </w:r>
          </w:p>
        </w:tc>
        <w:tc>
          <w:tcPr>
            <w:tcW w:w="3057" w:type="dxa"/>
            <w:vAlign w:val="center"/>
          </w:tcPr>
          <w:p>
            <w:pPr>
              <w:spacing w:line="400" w:lineRule="exact"/>
              <w:rPr>
                <w:rFonts w:ascii="仿宋_GB2312" w:eastAsia="仿宋_GB2312"/>
                <w:sz w:val="24"/>
              </w:rPr>
            </w:pPr>
            <w:r>
              <w:rPr>
                <w:rFonts w:hint="eastAsia" w:ascii="仿宋_GB2312" w:eastAsia="仿宋_GB2312"/>
                <w:sz w:val="24"/>
              </w:rPr>
              <w:t>违规使用危险化学品的扣1-4分</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59" w:type="dxa"/>
            <w:vAlign w:val="center"/>
          </w:tcPr>
          <w:p>
            <w:pPr>
              <w:jc w:val="center"/>
              <w:rPr>
                <w:rFonts w:ascii="仿宋_GB2312" w:eastAsia="仿宋_GB2312"/>
                <w:b/>
                <w:sz w:val="24"/>
              </w:rPr>
            </w:pPr>
            <w:r>
              <w:rPr>
                <w:rFonts w:hint="eastAsia" w:ascii="仿宋_GB2312" w:eastAsia="仿宋_GB2312"/>
                <w:b/>
                <w:sz w:val="24"/>
                <w:lang w:eastAsia="zh-CN"/>
              </w:rPr>
              <w:t>其它</w:t>
            </w:r>
            <w:r>
              <w:rPr>
                <w:rFonts w:hint="eastAsia" w:ascii="仿宋_GB2312" w:eastAsia="仿宋_GB2312"/>
                <w:b/>
                <w:sz w:val="24"/>
              </w:rPr>
              <w:t>扣分</w:t>
            </w:r>
          </w:p>
        </w:tc>
        <w:tc>
          <w:tcPr>
            <w:tcW w:w="1247" w:type="dxa"/>
            <w:vAlign w:val="center"/>
          </w:tcPr>
          <w:p>
            <w:pPr>
              <w:jc w:val="center"/>
              <w:rPr>
                <w:rFonts w:ascii="仿宋_GB2312" w:eastAsia="仿宋_GB2312"/>
                <w:b/>
                <w:sz w:val="24"/>
              </w:rPr>
            </w:pPr>
            <w:r>
              <w:rPr>
                <w:rFonts w:hint="eastAsia" w:ascii="仿宋_GB2312" w:eastAsia="仿宋_GB2312"/>
                <w:b/>
                <w:sz w:val="24"/>
              </w:rPr>
              <w:t>学校部门联合检查</w:t>
            </w:r>
          </w:p>
        </w:tc>
        <w:tc>
          <w:tcPr>
            <w:tcW w:w="4332" w:type="dxa"/>
            <w:vAlign w:val="center"/>
          </w:tcPr>
          <w:p>
            <w:pPr>
              <w:spacing w:line="400" w:lineRule="exact"/>
              <w:rPr>
                <w:rFonts w:ascii="仿宋_GB2312" w:eastAsia="仿宋_GB2312"/>
                <w:sz w:val="24"/>
              </w:rPr>
            </w:pPr>
          </w:p>
        </w:tc>
        <w:tc>
          <w:tcPr>
            <w:tcW w:w="3057" w:type="dxa"/>
            <w:vAlign w:val="center"/>
          </w:tcPr>
          <w:p>
            <w:pPr>
              <w:spacing w:line="400" w:lineRule="exact"/>
              <w:rPr>
                <w:rFonts w:hint="eastAsia" w:ascii="仿宋_GB2312" w:eastAsia="仿宋_GB2312"/>
                <w:sz w:val="24"/>
                <w:lang w:eastAsia="zh-CN"/>
              </w:rPr>
            </w:pPr>
            <w:r>
              <w:rPr>
                <w:rFonts w:hint="eastAsia" w:ascii="仿宋_GB2312" w:eastAsia="仿宋_GB2312"/>
                <w:sz w:val="24"/>
              </w:rPr>
              <w:t>联合检查中发现安全问题的每项扣1分</w:t>
            </w:r>
            <w:r>
              <w:rPr>
                <w:rFonts w:hint="eastAsia" w:ascii="仿宋_GB2312" w:eastAsia="仿宋_GB2312"/>
                <w:sz w:val="24"/>
                <w:lang w:eastAsia="zh-CN"/>
              </w:rPr>
              <w:t>。</w:t>
            </w:r>
          </w:p>
        </w:tc>
        <w:tc>
          <w:tcPr>
            <w:tcW w:w="955" w:type="dxa"/>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9" w:type="dxa"/>
            <w:vAlign w:val="center"/>
          </w:tcPr>
          <w:p>
            <w:pPr>
              <w:jc w:val="center"/>
              <w:rPr>
                <w:rFonts w:ascii="仿宋_GB2312" w:eastAsia="仿宋_GB2312"/>
                <w:b/>
                <w:sz w:val="24"/>
              </w:rPr>
            </w:pPr>
          </w:p>
        </w:tc>
        <w:tc>
          <w:tcPr>
            <w:tcW w:w="1247" w:type="dxa"/>
            <w:vAlign w:val="center"/>
          </w:tcPr>
          <w:p>
            <w:pPr>
              <w:jc w:val="center"/>
              <w:rPr>
                <w:rFonts w:ascii="仿宋_GB2312" w:eastAsia="仿宋_GB2312" w:hAnsiTheme="minorHAnsi" w:cstheme="minorBidi"/>
                <w:b/>
                <w:kern w:val="2"/>
                <w:sz w:val="24"/>
                <w:szCs w:val="22"/>
                <w:lang w:val="en-US" w:eastAsia="zh-CN" w:bidi="ar-SA"/>
              </w:rPr>
            </w:pPr>
            <w:r>
              <w:rPr>
                <w:rFonts w:hint="eastAsia" w:ascii="仿宋_GB2312" w:eastAsia="仿宋_GB2312"/>
                <w:b/>
                <w:sz w:val="24"/>
              </w:rPr>
              <w:t>合计得分</w:t>
            </w:r>
          </w:p>
        </w:tc>
        <w:tc>
          <w:tcPr>
            <w:tcW w:w="4332" w:type="dxa"/>
            <w:vAlign w:val="center"/>
          </w:tcPr>
          <w:p>
            <w:pPr>
              <w:spacing w:line="400" w:lineRule="exact"/>
              <w:rPr>
                <w:rFonts w:ascii="仿宋_GB2312" w:eastAsia="仿宋_GB2312"/>
                <w:sz w:val="24"/>
              </w:rPr>
            </w:pPr>
          </w:p>
        </w:tc>
        <w:tc>
          <w:tcPr>
            <w:tcW w:w="4012" w:type="dxa"/>
            <w:gridSpan w:val="2"/>
            <w:vAlign w:val="center"/>
          </w:tcPr>
          <w:p>
            <w:pPr>
              <w:spacing w:line="400" w:lineRule="exact"/>
              <w:rPr>
                <w:rFonts w:ascii="仿宋_GB2312" w:eastAsia="仿宋_GB2312"/>
                <w:sz w:val="24"/>
              </w:rPr>
            </w:pPr>
          </w:p>
        </w:tc>
      </w:tr>
    </w:tbl>
    <w:p>
      <w:pPr>
        <w:jc w:val="left"/>
        <w:rPr>
          <w:rFonts w:ascii="仿宋_GB2312" w:hAnsi="Calibri" w:eastAsia="仿宋_GB2312" w:cs="Times New Roman"/>
          <w:sz w:val="30"/>
          <w:szCs w:val="30"/>
        </w:rPr>
      </w:pPr>
    </w:p>
    <w:p>
      <w:pPr>
        <w:rPr>
          <w:rFonts w:hint="eastAsia"/>
          <w:sz w:val="24"/>
          <w:szCs w:val="28"/>
          <w:lang w:eastAsia="zh-CN"/>
        </w:rPr>
      </w:pPr>
      <w:r>
        <w:rPr>
          <w:rFonts w:hint="eastAsia" w:ascii="仿宋" w:hAnsi="仿宋" w:eastAsia="仿宋" w:cs="仿宋"/>
          <w:sz w:val="32"/>
          <w:szCs w:val="32"/>
          <w:lang w:eastAsia="zh-CN"/>
        </w:rPr>
        <w:t>（备注：以上考核内容如个别单位不涉及的，不填写）</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31B42"/>
    <w:rsid w:val="15587138"/>
    <w:rsid w:val="1B5348ED"/>
    <w:rsid w:val="1BC21E03"/>
    <w:rsid w:val="492E22AE"/>
    <w:rsid w:val="4AE64CB7"/>
    <w:rsid w:val="50524309"/>
    <w:rsid w:val="5C631BEC"/>
    <w:rsid w:val="61E86B33"/>
    <w:rsid w:val="62F45B51"/>
    <w:rsid w:val="68E412CB"/>
    <w:rsid w:val="6CB67A99"/>
    <w:rsid w:val="6D17727D"/>
    <w:rsid w:val="6D1A237A"/>
    <w:rsid w:val="7B826EEC"/>
    <w:rsid w:val="7DC640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2020-12-09T06:41:36Z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